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A" w:rsidRPr="00F00F93" w:rsidRDefault="0060344A" w:rsidP="00717222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60344A" w:rsidRDefault="0060344A" w:rsidP="00717222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60344A" w:rsidRPr="00510981" w:rsidRDefault="0060344A" w:rsidP="00717222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4E0DF8" w:rsidRDefault="004E0DF8" w:rsidP="007172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60344A" w:rsidRPr="00F00F93" w:rsidRDefault="0060344A" w:rsidP="007172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60344A" w:rsidRPr="00F00F93" w:rsidRDefault="0060344A" w:rsidP="00F46D38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60344A" w:rsidRPr="00F00F93" w:rsidRDefault="0060344A" w:rsidP="0064357D">
      <w:pPr>
        <w:pStyle w:val="Nadpis1"/>
        <w:numPr>
          <w:ilvl w:val="0"/>
          <w:numId w:val="7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1B039A">
        <w:rPr>
          <w:rFonts w:ascii="Tahoma" w:hAnsi="Tahoma" w:cs="Tahoma"/>
          <w:noProof/>
          <w:sz w:val="20"/>
          <w:szCs w:val="20"/>
        </w:rPr>
        <w:t>Radoslav Čangel PRODUKT</w:t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1B039A">
        <w:rPr>
          <w:rFonts w:ascii="Tahoma" w:hAnsi="Tahoma" w:cs="Tahoma"/>
          <w:noProof/>
          <w:sz w:val="20"/>
          <w:szCs w:val="20"/>
        </w:rPr>
        <w:t>Fraňa Kráľa 700/7, 958 01 Partizánske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1B039A">
        <w:rPr>
          <w:rFonts w:ascii="Tahoma" w:hAnsi="Tahoma" w:cs="Tahoma"/>
          <w:noProof/>
          <w:sz w:val="20"/>
          <w:szCs w:val="20"/>
        </w:rPr>
        <w:t>Mgr. Radoslav Čangel</w:t>
      </w:r>
    </w:p>
    <w:p w:rsidR="0060344A" w:rsidRPr="00F00F93" w:rsidRDefault="0060344A" w:rsidP="00717222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1B039A">
        <w:rPr>
          <w:rFonts w:ascii="Tahoma" w:hAnsi="Tahoma" w:cs="Tahoma"/>
          <w:noProof/>
          <w:sz w:val="20"/>
          <w:szCs w:val="20"/>
        </w:rPr>
        <w:t>32808348</w:t>
      </w:r>
    </w:p>
    <w:p w:rsidR="0060344A" w:rsidRDefault="0060344A" w:rsidP="00717222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1B039A">
        <w:rPr>
          <w:rFonts w:ascii="Tahoma" w:hAnsi="Tahoma" w:cs="Tahoma"/>
          <w:noProof/>
          <w:color w:val="auto"/>
          <w:sz w:val="20"/>
          <w:szCs w:val="20"/>
        </w:rPr>
        <w:t>1020438309</w:t>
      </w:r>
    </w:p>
    <w:p w:rsidR="0060344A" w:rsidRPr="004A7272" w:rsidRDefault="0060344A" w:rsidP="00717222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1B039A">
        <w:rPr>
          <w:rFonts w:ascii="Tahoma" w:hAnsi="Tahoma" w:cs="Tahoma"/>
          <w:noProof/>
          <w:color w:val="auto"/>
          <w:sz w:val="20"/>
          <w:szCs w:val="20"/>
        </w:rPr>
        <w:t>SK 1020438309</w:t>
      </w:r>
    </w:p>
    <w:p w:rsidR="0060344A" w:rsidRPr="00F00F93" w:rsidRDefault="0060344A" w:rsidP="00717222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1B039A">
        <w:rPr>
          <w:rFonts w:ascii="Tahoma" w:hAnsi="Tahoma" w:cs="Tahoma"/>
          <w:noProof/>
          <w:sz w:val="20"/>
          <w:szCs w:val="20"/>
        </w:rPr>
        <w:t>ČSOB banka, a.s.</w:t>
      </w:r>
    </w:p>
    <w:p w:rsidR="0060344A" w:rsidRPr="003D2831" w:rsidRDefault="0060344A" w:rsidP="00717222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IBAN, číslo účtu: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1B039A">
        <w:rPr>
          <w:rFonts w:ascii="Tahoma" w:hAnsi="Tahoma" w:cs="Tahoma"/>
          <w:noProof/>
          <w:color w:val="auto"/>
          <w:sz w:val="20"/>
          <w:szCs w:val="20"/>
        </w:rPr>
        <w:t>SK07 7500 0000 0040 2548 6340</w:t>
      </w:r>
    </w:p>
    <w:p w:rsidR="0060344A" w:rsidRPr="003D2831" w:rsidRDefault="0060344A" w:rsidP="00717222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1B039A">
        <w:rPr>
          <w:rFonts w:ascii="Tahoma" w:hAnsi="Tahoma" w:cs="Tahoma"/>
          <w:noProof/>
          <w:color w:val="auto"/>
          <w:sz w:val="20"/>
          <w:szCs w:val="20"/>
        </w:rPr>
        <w:t>+421 905355047</w:t>
      </w:r>
    </w:p>
    <w:p w:rsidR="0060344A" w:rsidRPr="003D2831" w:rsidRDefault="0060344A" w:rsidP="00717222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1B039A">
        <w:rPr>
          <w:rFonts w:ascii="Tahoma" w:hAnsi="Tahoma" w:cs="Tahoma"/>
          <w:noProof/>
          <w:color w:val="auto"/>
          <w:sz w:val="20"/>
          <w:szCs w:val="20"/>
        </w:rPr>
        <w:t>radocangel@gmail.com</w:t>
      </w:r>
    </w:p>
    <w:p w:rsidR="0060344A" w:rsidRPr="00F55E2E" w:rsidRDefault="0060344A" w:rsidP="00717222">
      <w:pPr>
        <w:pStyle w:val="Zkladntext"/>
        <w:rPr>
          <w:rFonts w:ascii="Tahoma" w:hAnsi="Tahoma" w:cs="Tahoma"/>
          <w:sz w:val="20"/>
          <w:szCs w:val="20"/>
        </w:rPr>
      </w:pPr>
      <w:r w:rsidRPr="00F55E2E">
        <w:rPr>
          <w:rFonts w:ascii="Tahoma" w:hAnsi="Tahoma" w:cs="Tahoma"/>
          <w:sz w:val="20"/>
          <w:szCs w:val="20"/>
        </w:rPr>
        <w:t xml:space="preserve"> (ďalej len : „objednávateľ“ )</w:t>
      </w:r>
    </w:p>
    <w:p w:rsidR="0060344A" w:rsidRPr="00F00F93" w:rsidRDefault="0060344A" w:rsidP="00717222">
      <w:pPr>
        <w:pStyle w:val="Zkladntext"/>
        <w:rPr>
          <w:rFonts w:ascii="Tahoma" w:hAnsi="Tahoma" w:cs="Tahoma"/>
          <w:sz w:val="20"/>
          <w:szCs w:val="20"/>
        </w:rPr>
      </w:pPr>
    </w:p>
    <w:p w:rsidR="0060344A" w:rsidRPr="00F00F93" w:rsidRDefault="0060344A" w:rsidP="0064357D">
      <w:pPr>
        <w:pStyle w:val="Nadpis1"/>
        <w:numPr>
          <w:ilvl w:val="0"/>
          <w:numId w:val="7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Zapísaná: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60344A" w:rsidRPr="00F00F93" w:rsidRDefault="0060344A" w:rsidP="00717222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60344A" w:rsidRPr="00F00F93" w:rsidRDefault="0060344A" w:rsidP="00717222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00F93" w:rsidRDefault="0060344A" w:rsidP="00717222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="00986F58">
        <w:rPr>
          <w:rFonts w:ascii="Tahoma" w:hAnsi="Tahoma" w:cs="Tahoma"/>
          <w:sz w:val="20"/>
          <w:szCs w:val="20"/>
        </w:rPr>
        <w:t xml:space="preserve">     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Default="0060344A" w:rsidP="00717222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(</w:t>
      </w:r>
      <w:r w:rsidRPr="00F55E2E">
        <w:rPr>
          <w:rFonts w:ascii="Tahoma" w:hAnsi="Tahoma" w:cs="Tahoma"/>
          <w:sz w:val="20"/>
          <w:szCs w:val="20"/>
        </w:rPr>
        <w:t xml:space="preserve">ďalej len „dodávateľ“ ) </w:t>
      </w:r>
      <w:r w:rsidRPr="00F00F93">
        <w:rPr>
          <w:rFonts w:ascii="Tahoma" w:hAnsi="Tahoma" w:cs="Tahoma"/>
          <w:sz w:val="20"/>
          <w:szCs w:val="20"/>
        </w:rPr>
        <w:tab/>
      </w:r>
    </w:p>
    <w:p w:rsidR="0060344A" w:rsidRPr="00F46D38" w:rsidRDefault="0060344A" w:rsidP="00717222">
      <w:pPr>
        <w:pStyle w:val="Zkladntext"/>
        <w:rPr>
          <w:rFonts w:ascii="Tahoma" w:hAnsi="Tahoma" w:cs="Tahoma"/>
          <w:sz w:val="16"/>
          <w:szCs w:val="16"/>
        </w:rPr>
      </w:pPr>
    </w:p>
    <w:p w:rsidR="0060344A" w:rsidRPr="00510981" w:rsidRDefault="0060344A" w:rsidP="00717222">
      <w:pPr>
        <w:pStyle w:val="Zkladntext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60344A" w:rsidRPr="00F00F93" w:rsidRDefault="0060344A" w:rsidP="00717222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60344A" w:rsidRPr="00F55E2E" w:rsidRDefault="0060344A" w:rsidP="00717222">
      <w:pPr>
        <w:pStyle w:val="C1"/>
        <w:rPr>
          <w:rFonts w:ascii="Tahoma" w:hAnsi="Tahoma" w:cs="Tahoma"/>
          <w:b w:val="0"/>
        </w:rPr>
      </w:pPr>
      <w:r w:rsidRPr="00F55E2E">
        <w:rPr>
          <w:rFonts w:ascii="Tahoma" w:hAnsi="Tahoma" w:cs="Tahoma"/>
          <w:b w:val="0"/>
        </w:rPr>
        <w:t>Východiskovým podkladom na uzavretie tejto zmluvy (ďalej len „zmluva“) je ponuka dodávateľa s názvom: „</w:t>
      </w:r>
      <w:r w:rsidRPr="00F55E2E">
        <w:rPr>
          <w:rFonts w:ascii="Tahoma" w:eastAsiaTheme="minorHAnsi" w:hAnsi="Tahoma" w:cs="Tahoma"/>
          <w:b w:val="0"/>
          <w:noProof/>
          <w:lang w:eastAsia="en-US"/>
        </w:rPr>
        <w:t>Linka na výrobu vína</w:t>
      </w:r>
      <w:r w:rsidRPr="00F55E2E">
        <w:rPr>
          <w:rFonts w:ascii="Tahoma" w:hAnsi="Tahoma" w:cs="Tahoma"/>
          <w:b w:val="0"/>
        </w:rPr>
        <w:t>“.</w:t>
      </w:r>
    </w:p>
    <w:p w:rsidR="0060344A" w:rsidRDefault="0060344A" w:rsidP="00717222">
      <w:pPr>
        <w:jc w:val="center"/>
        <w:rPr>
          <w:rFonts w:ascii="Tahoma" w:hAnsi="Tahoma" w:cs="Tahoma"/>
          <w:b/>
          <w:sz w:val="20"/>
          <w:szCs w:val="20"/>
        </w:rPr>
      </w:pPr>
    </w:p>
    <w:p w:rsidR="0060344A" w:rsidRPr="00F00F93" w:rsidRDefault="0060344A" w:rsidP="00717222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60344A" w:rsidRPr="00F00F93" w:rsidRDefault="0060344A" w:rsidP="00717222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60344A" w:rsidRPr="00510981" w:rsidRDefault="0060344A" w:rsidP="0064357D">
      <w:pPr>
        <w:pStyle w:val="Zarkazkladnhotextu21"/>
        <w:numPr>
          <w:ilvl w:val="0"/>
          <w:numId w:val="9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Predmetom zmluvy 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 w:rsidRPr="001B039A">
        <w:rPr>
          <w:rFonts w:ascii="Tahoma" w:eastAsiaTheme="minorHAnsi" w:hAnsi="Tahoma" w:cs="Tahoma"/>
          <w:noProof/>
          <w:sz w:val="20"/>
          <w:szCs w:val="20"/>
          <w:lang w:eastAsia="en-US"/>
        </w:rPr>
        <w:t>Linka na výrobu vína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60344A" w:rsidRPr="00510981" w:rsidRDefault="0060344A" w:rsidP="00717222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60344A" w:rsidRPr="004E0DF8" w:rsidRDefault="0060344A" w:rsidP="0064357D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="Tahoma" w:hAnsi="Tahoma" w:cs="Tahoma"/>
          <w:color w:val="auto"/>
          <w:sz w:val="16"/>
          <w:szCs w:val="16"/>
        </w:rPr>
      </w:pPr>
      <w:r w:rsidRPr="00510981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4E0DF8">
        <w:rPr>
          <w:rFonts w:ascii="Tahoma" w:eastAsia="Arial" w:hAnsi="Tahoma" w:cs="Tahoma"/>
          <w:color w:val="FF0000"/>
          <w:sz w:val="16"/>
          <w:szCs w:val="16"/>
        </w:rPr>
        <w:t xml:space="preserve">                                </w:t>
      </w:r>
      <w:r w:rsidR="004E0DF8">
        <w:rPr>
          <w:rFonts w:ascii="Tahoma" w:eastAsia="Arial" w:hAnsi="Tahoma" w:cs="Tahoma"/>
          <w:color w:val="FF0000"/>
          <w:sz w:val="16"/>
          <w:szCs w:val="16"/>
        </w:rPr>
        <w:t xml:space="preserve">          </w:t>
      </w:r>
      <w:r w:rsidRPr="004E0DF8">
        <w:rPr>
          <w:rFonts w:ascii="Tahoma" w:hAnsi="Tahoma" w:cs="Tahoma"/>
          <w:color w:val="auto"/>
          <w:sz w:val="16"/>
          <w:szCs w:val="16"/>
        </w:rPr>
        <w:t>(uchádzač uvedie názov výrobcu a typové označenie predmetu zmluvy)</w:t>
      </w:r>
    </w:p>
    <w:p w:rsidR="0060344A" w:rsidRPr="00510981" w:rsidRDefault="0060344A" w:rsidP="0064357D">
      <w:pPr>
        <w:pStyle w:val="Zarkazkladnhotextu21"/>
        <w:numPr>
          <w:ilvl w:val="0"/>
          <w:numId w:val="9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F55E2E">
        <w:rPr>
          <w:rFonts w:ascii="Tahoma" w:hAnsi="Tahoma" w:cs="Tahoma"/>
          <w:sz w:val="20"/>
          <w:szCs w:val="20"/>
        </w:rPr>
        <w:t>uvedená v Prílohe č. 1.  tejto</w:t>
      </w:r>
      <w:r w:rsidRPr="00510981">
        <w:rPr>
          <w:rFonts w:ascii="Tahoma" w:hAnsi="Tahoma" w:cs="Tahoma"/>
          <w:sz w:val="20"/>
          <w:szCs w:val="20"/>
        </w:rPr>
        <w:t xml:space="preserve"> zmluvy. </w:t>
      </w:r>
    </w:p>
    <w:p w:rsidR="00F55E2E" w:rsidRPr="0059059C" w:rsidRDefault="00F55E2E" w:rsidP="0064357D">
      <w:pPr>
        <w:pStyle w:val="Zarkazkladnhotextu21"/>
        <w:numPr>
          <w:ilvl w:val="0"/>
          <w:numId w:val="9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9059C">
        <w:rPr>
          <w:rFonts w:ascii="Tahoma" w:hAnsi="Tahoma" w:cs="Tahoma"/>
          <w:color w:val="auto"/>
          <w:sz w:val="20"/>
          <w:szCs w:val="20"/>
        </w:rPr>
        <w:t xml:space="preserve">Súčasťou predmetu zmluvy je dodanie predmetu zmluvy do miesta dodanie predmetu zmluvy a montáž a uvedenie predmetu zmluvy do prevádzky a oživení predmetu zmluvy s tým, že dodávateľ je povinný preukázať dosiahnutie všetkých parametrov, ktoré sú </w:t>
      </w:r>
      <w:r>
        <w:rPr>
          <w:rFonts w:ascii="Tahoma" w:hAnsi="Tahoma" w:cs="Tahoma"/>
          <w:color w:val="auto"/>
          <w:sz w:val="20"/>
          <w:szCs w:val="20"/>
        </w:rPr>
        <w:t xml:space="preserve">tejto zmluve a </w:t>
      </w:r>
      <w:r w:rsidRPr="0059059C">
        <w:rPr>
          <w:rFonts w:ascii="Tahoma" w:hAnsi="Tahoma" w:cs="Tahoma"/>
          <w:color w:val="auto"/>
          <w:sz w:val="20"/>
          <w:szCs w:val="20"/>
        </w:rPr>
        <w:t>v Prílohe č.1 tejto zmluvy.</w:t>
      </w:r>
    </w:p>
    <w:p w:rsidR="0060344A" w:rsidRPr="00510981" w:rsidRDefault="0060344A" w:rsidP="00F55E2E">
      <w:pPr>
        <w:pStyle w:val="Zkladntext"/>
        <w:tabs>
          <w:tab w:val="num" w:pos="1694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:rsidR="00087F73" w:rsidRDefault="00087F73" w:rsidP="007172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60344A" w:rsidRPr="00F00F93" w:rsidRDefault="0060344A" w:rsidP="007172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III</w:t>
      </w:r>
    </w:p>
    <w:p w:rsidR="0060344A" w:rsidRPr="00F00F93" w:rsidRDefault="0060344A" w:rsidP="00717222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Lehota</w:t>
      </w:r>
      <w:r w:rsidRPr="00F00F93">
        <w:rPr>
          <w:rFonts w:ascii="Tahoma" w:hAnsi="Tahoma" w:cs="Tahoma"/>
          <w:b/>
          <w:sz w:val="20"/>
          <w:szCs w:val="20"/>
        </w:rPr>
        <w:t xml:space="preserve"> a miesto dodania</w:t>
      </w:r>
    </w:p>
    <w:p w:rsidR="004E0DF8" w:rsidRDefault="004E0DF8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BC7674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objednávateľovi uplynie </w:t>
      </w:r>
      <w:r>
        <w:rPr>
          <w:rFonts w:ascii="Tahoma" w:hAnsi="Tahoma" w:cs="Tahoma"/>
          <w:sz w:val="20"/>
          <w:szCs w:val="20"/>
          <w:lang w:val="sk-SK"/>
        </w:rPr>
        <w:t>16</w:t>
      </w:r>
      <w:r w:rsidRPr="00BC7674">
        <w:rPr>
          <w:rFonts w:ascii="Tahoma" w:hAnsi="Tahoma" w:cs="Tahoma"/>
          <w:sz w:val="20"/>
          <w:szCs w:val="20"/>
          <w:lang w:val="sk-SK"/>
        </w:rPr>
        <w:t>0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 Vystavenie objednávky objednávateľom bude </w:t>
      </w:r>
      <w:r>
        <w:rPr>
          <w:rFonts w:ascii="Tahoma" w:hAnsi="Tahoma" w:cs="Tahoma"/>
          <w:sz w:val="20"/>
          <w:szCs w:val="20"/>
          <w:lang w:val="sk-SK"/>
        </w:rPr>
        <w:t>najneskôr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90 kalendárny</w:t>
      </w:r>
      <w:r>
        <w:rPr>
          <w:rFonts w:ascii="Tahoma" w:hAnsi="Tahoma" w:cs="Tahoma"/>
          <w:sz w:val="20"/>
          <w:szCs w:val="20"/>
          <w:lang w:val="sk-SK"/>
        </w:rPr>
        <w:t xml:space="preserve"> deň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 nadobudnutia platnosti a účinnosti tejto zmluvy.</w:t>
      </w:r>
    </w:p>
    <w:p w:rsidR="0060344A" w:rsidRPr="004E0DF8" w:rsidRDefault="0060344A" w:rsidP="004E0DF8">
      <w:pPr>
        <w:pStyle w:val="Zkladntext211"/>
        <w:widowControl w:val="0"/>
        <w:numPr>
          <w:ilvl w:val="1"/>
          <w:numId w:val="22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4E0DF8">
        <w:rPr>
          <w:rFonts w:ascii="Tahoma" w:hAnsi="Tahoma" w:cs="Tahoma"/>
          <w:sz w:val="20"/>
          <w:szCs w:val="20"/>
          <w:lang w:val="sk-SK"/>
        </w:rPr>
        <w:t>Miestom dodania predmetu zmluvy Fraňa Kráľa 700/7, 958 01 Partizánske</w:t>
      </w:r>
    </w:p>
    <w:p w:rsidR="0060344A" w:rsidRPr="00F00F93" w:rsidRDefault="0060344A" w:rsidP="007172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lastRenderedPageBreak/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60344A" w:rsidRPr="00F00F93" w:rsidRDefault="0060344A" w:rsidP="00717222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60344A" w:rsidRPr="00F00F93" w:rsidRDefault="0060344A" w:rsidP="0064357D">
      <w:pPr>
        <w:pStyle w:val="Zarkazkladnhotextu21"/>
        <w:numPr>
          <w:ilvl w:val="0"/>
          <w:numId w:val="8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60344A" w:rsidRPr="00F00F93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60344A" w:rsidRPr="00F00F93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60344A" w:rsidRPr="00F00F93" w:rsidTr="00021F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344A" w:rsidRPr="00F00F93" w:rsidRDefault="0060344A" w:rsidP="00021F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60344A" w:rsidRPr="00F00F93" w:rsidRDefault="0060344A" w:rsidP="00717222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60344A" w:rsidRPr="00F00F93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60344A" w:rsidRPr="00F00F93" w:rsidRDefault="0060344A" w:rsidP="0064357D">
      <w:pPr>
        <w:pStyle w:val="Zarkazkladnhotextu21"/>
        <w:numPr>
          <w:ilvl w:val="0"/>
          <w:numId w:val="8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</w:t>
      </w: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Platobné podmienky</w:t>
      </w: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F55E2E" w:rsidRPr="0021173A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F55E2E" w:rsidRPr="0021173A" w:rsidRDefault="00F55E2E" w:rsidP="00F55E2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F55E2E" w:rsidRPr="0021173A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preberací protokol o úspešnom ukončení preberacieho konania predmetu zmluvy. </w:t>
      </w:r>
    </w:p>
    <w:p w:rsidR="00F55E2E" w:rsidRPr="0021173A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F55E2E" w:rsidRPr="0021173A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F55E2E" w:rsidRPr="0021173A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F55E2E" w:rsidRPr="0021173A" w:rsidRDefault="00F55E2E" w:rsidP="0064357D">
      <w:pPr>
        <w:numPr>
          <w:ilvl w:val="0"/>
          <w:numId w:val="18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Objednávateľ neposkytne dodávateľovi preddavok na dodanie predmetu zmluvy. </w:t>
      </w: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VI</w:t>
      </w:r>
    </w:p>
    <w:p w:rsidR="00F55E2E" w:rsidRPr="0021173A" w:rsidRDefault="00F55E2E" w:rsidP="00F55E2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F55E2E" w:rsidRPr="0059059C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Celý predmet zmluvy</w:t>
      </w:r>
      <w:r>
        <w:rPr>
          <w:rFonts w:ascii="Tahoma" w:hAnsi="Tahoma" w:cs="Tahoma"/>
          <w:sz w:val="20"/>
          <w:szCs w:val="20"/>
        </w:rPr>
        <w:t xml:space="preserve"> </w:t>
      </w:r>
      <w:r w:rsidRPr="0021173A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F55E2E" w:rsidRPr="0021173A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Cs/>
          <w:sz w:val="20"/>
          <w:szCs w:val="20"/>
        </w:rPr>
        <w:t xml:space="preserve">Zmluvné strany sa dohodli, že dodávateľ dodá k predmetu zmluvy všetky návody na obsluhu </w:t>
      </w:r>
      <w:r>
        <w:rPr>
          <w:rFonts w:ascii="Tahoma" w:hAnsi="Tahoma" w:cs="Tahoma"/>
          <w:bCs/>
          <w:sz w:val="20"/>
          <w:szCs w:val="20"/>
        </w:rPr>
        <w:t xml:space="preserve">a návody na údržbu </w:t>
      </w:r>
      <w:r w:rsidRPr="0021173A">
        <w:rPr>
          <w:rFonts w:ascii="Tahoma" w:hAnsi="Tahoma" w:cs="Tahoma"/>
          <w:bCs/>
          <w:sz w:val="20"/>
          <w:szCs w:val="20"/>
        </w:rPr>
        <w:t>v slovenskom jazyku.</w:t>
      </w:r>
    </w:p>
    <w:p w:rsidR="00F55E2E" w:rsidRPr="0021173A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Zmluvné strany sa dohodli, že po úspešnom ukončení preberacieho konania spíšu </w:t>
      </w:r>
      <w:r w:rsidR="00F46D38">
        <w:rPr>
          <w:rFonts w:ascii="Tahoma" w:hAnsi="Tahoma" w:cs="Tahoma"/>
          <w:sz w:val="20"/>
          <w:szCs w:val="20"/>
        </w:rPr>
        <w:t xml:space="preserve">poverený zástupcovia zmluvných strán preberací protokol </w:t>
      </w:r>
      <w:r w:rsidRPr="0021173A">
        <w:rPr>
          <w:rFonts w:ascii="Tahoma" w:hAnsi="Tahoma" w:cs="Tahoma"/>
          <w:sz w:val="20"/>
          <w:szCs w:val="20"/>
        </w:rPr>
        <w:t>o ukončení preberacieho konania predmetu zmluvy. Úspešným ukončením preberacieho konania bude preukázanie dosiahnutia všetkých parametrov, ktoré sú v tejto zmluve a v jej prílohách.</w:t>
      </w:r>
    </w:p>
    <w:p w:rsidR="00F55E2E" w:rsidRPr="0021173A" w:rsidRDefault="00F55E2E" w:rsidP="0064357D">
      <w:pPr>
        <w:widowControl w:val="0"/>
        <w:numPr>
          <w:ilvl w:val="1"/>
          <w:numId w:val="1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objednávateľov najneskôr do 10 pracovných dní od nadobudnutia platnosti a účinnosti tejto zmluvy.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lastRenderedPageBreak/>
        <w:t>Nebezpečenstvo škody na predmete zmluvy, ako aj na veciach a materiáloch, potrebných na dodanie predmetu zmluvy znášať dodávateľ až do času písomného  prevzatia predmetu zmluvy objednávateľom.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3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VII</w:t>
      </w:r>
    </w:p>
    <w:p w:rsidR="00F55E2E" w:rsidRPr="0021173A" w:rsidRDefault="00F55E2E" w:rsidP="00F55E2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F55E2E" w:rsidRPr="0021173A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F55E2E" w:rsidRPr="0021173A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F55E2E" w:rsidRPr="0021173A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F55E2E" w:rsidRPr="0021173A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F55E2E" w:rsidRPr="0021173A" w:rsidRDefault="00F55E2E" w:rsidP="0064357D">
      <w:pPr>
        <w:pStyle w:val="Zkladntext3"/>
        <w:numPr>
          <w:ilvl w:val="0"/>
          <w:numId w:val="21"/>
        </w:numPr>
        <w:jc w:val="both"/>
        <w:rPr>
          <w:rFonts w:ascii="Tahoma" w:hAnsi="Tahoma" w:cs="Tahoma"/>
          <w:color w:val="auto"/>
          <w:sz w:val="20"/>
        </w:rPr>
      </w:pPr>
      <w:r w:rsidRPr="0021173A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F55E2E" w:rsidRPr="0021173A" w:rsidRDefault="00F55E2E" w:rsidP="0064357D">
      <w:pPr>
        <w:pStyle w:val="Zkladntext3"/>
        <w:numPr>
          <w:ilvl w:val="0"/>
          <w:numId w:val="21"/>
        </w:numPr>
        <w:jc w:val="both"/>
        <w:rPr>
          <w:rFonts w:ascii="Tahoma" w:hAnsi="Tahoma" w:cs="Tahoma"/>
          <w:sz w:val="20"/>
        </w:rPr>
      </w:pPr>
      <w:r w:rsidRPr="0021173A">
        <w:rPr>
          <w:rFonts w:ascii="Tahoma" w:hAnsi="Tahoma" w:cs="Tahoma"/>
          <w:sz w:val="20"/>
        </w:rPr>
        <w:t>reakciu dodávateľa na reklamovanú vadu do 12 hodín od jej nahlásenia dodávateľovi a</w:t>
      </w:r>
    </w:p>
    <w:p w:rsidR="00F55E2E" w:rsidRPr="0021173A" w:rsidRDefault="00F55E2E" w:rsidP="0064357D">
      <w:pPr>
        <w:pStyle w:val="Zkladntext3"/>
        <w:numPr>
          <w:ilvl w:val="0"/>
          <w:numId w:val="21"/>
        </w:numPr>
        <w:jc w:val="both"/>
        <w:rPr>
          <w:rFonts w:ascii="Tahoma" w:hAnsi="Tahoma" w:cs="Tahoma"/>
          <w:sz w:val="20"/>
        </w:rPr>
      </w:pPr>
      <w:r w:rsidRPr="0021173A">
        <w:rPr>
          <w:rFonts w:ascii="Tahoma" w:hAnsi="Tahoma" w:cs="Tahoma"/>
          <w:sz w:val="20"/>
        </w:rPr>
        <w:t>nástup na odstránenie reklamovanej vady najneskôr do 24 hodín od jej nahlásenia dodávateľovi a</w:t>
      </w:r>
    </w:p>
    <w:p w:rsidR="00F55E2E" w:rsidRPr="0021173A" w:rsidRDefault="00F55E2E" w:rsidP="0064357D">
      <w:pPr>
        <w:pStyle w:val="Zkladntext3"/>
        <w:numPr>
          <w:ilvl w:val="0"/>
          <w:numId w:val="21"/>
        </w:numPr>
        <w:jc w:val="both"/>
        <w:rPr>
          <w:rFonts w:ascii="Tahoma" w:hAnsi="Tahoma" w:cs="Tahoma"/>
          <w:sz w:val="20"/>
        </w:rPr>
      </w:pPr>
      <w:r w:rsidRPr="0021173A">
        <w:rPr>
          <w:rFonts w:ascii="Tahoma" w:hAnsi="Tahoma" w:cs="Tahoma"/>
          <w:sz w:val="20"/>
        </w:rPr>
        <w:t>odstránenie reklamovanej vady najneskôr do 48 hodín od nahlásenie dodávateľovi</w:t>
      </w:r>
    </w:p>
    <w:p w:rsidR="00F55E2E" w:rsidRPr="0021173A" w:rsidRDefault="00F55E2E" w:rsidP="0064357D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F55E2E" w:rsidRPr="0021173A" w:rsidRDefault="00F55E2E" w:rsidP="00F55E2E">
      <w:pPr>
        <w:pStyle w:val="Zkladntext3"/>
        <w:ind w:left="567"/>
        <w:jc w:val="both"/>
        <w:rPr>
          <w:rFonts w:ascii="Tahoma" w:hAnsi="Tahoma" w:cs="Tahoma"/>
          <w:sz w:val="20"/>
        </w:rPr>
      </w:pPr>
    </w:p>
    <w:p w:rsidR="00F55E2E" w:rsidRPr="0021173A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F55E2E" w:rsidRPr="0021173A" w:rsidRDefault="00F55E2E" w:rsidP="0064357D">
      <w:pPr>
        <w:pStyle w:val="Zkladntext211"/>
        <w:widowControl w:val="0"/>
        <w:numPr>
          <w:ilvl w:val="2"/>
          <w:numId w:val="14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VIII</w:t>
      </w:r>
    </w:p>
    <w:p w:rsidR="00F55E2E" w:rsidRPr="0021173A" w:rsidRDefault="00F55E2E" w:rsidP="00F55E2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9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IX</w:t>
      </w:r>
    </w:p>
    <w:p w:rsidR="00F55E2E" w:rsidRPr="0021173A" w:rsidRDefault="00F55E2E" w:rsidP="00F55E2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Osobitné ustanovenia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</w:t>
      </w:r>
      <w:r w:rsidRPr="00CE01C6">
        <w:rPr>
          <w:rFonts w:ascii="Tahoma" w:hAnsi="Tahoma" w:cs="Tahoma"/>
          <w:sz w:val="20"/>
          <w:szCs w:val="20"/>
          <w:lang w:val="sk-SK"/>
        </w:rPr>
        <w:t>zmluve a Prílohe č. 1 tejto</w:t>
      </w:r>
      <w:r w:rsidRPr="0021173A">
        <w:rPr>
          <w:rFonts w:ascii="Tahoma" w:hAnsi="Tahoma" w:cs="Tahoma"/>
          <w:sz w:val="20"/>
          <w:szCs w:val="20"/>
          <w:lang w:val="sk-SK"/>
        </w:rPr>
        <w:t xml:space="preserve"> zmluvy objednávateľ nepreberie predmet zmluvy ako celok a dodávateľ nemá právo vzniesť žiadne nároky voči objednávateľovi.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lastRenderedPageBreak/>
        <w:t xml:space="preserve">V prípade vzniku škody porušením povinností vyplývajúcich zo zmluvy budú zmluvné strany postupovať v súlade s príslušnými ustanoveniami Obchodného zákonníka. 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F55E2E" w:rsidRPr="0021173A" w:rsidRDefault="00F55E2E" w:rsidP="0064357D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Obchodné meno:</w:t>
      </w:r>
    </w:p>
    <w:p w:rsidR="00F55E2E" w:rsidRPr="0021173A" w:rsidRDefault="00F55E2E" w:rsidP="0064357D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Sídlo/ miesto podnikania:</w:t>
      </w:r>
    </w:p>
    <w:p w:rsidR="00F55E2E" w:rsidRPr="0021173A" w:rsidRDefault="00F55E2E" w:rsidP="0064357D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IČO:</w:t>
      </w:r>
    </w:p>
    <w:p w:rsidR="00F55E2E" w:rsidRPr="0021173A" w:rsidRDefault="00F55E2E" w:rsidP="0064357D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F55E2E" w:rsidRPr="0021173A" w:rsidRDefault="00F55E2E" w:rsidP="0064357D">
      <w:pPr>
        <w:pStyle w:val="Odsekzoznamu"/>
        <w:numPr>
          <w:ilvl w:val="0"/>
          <w:numId w:val="16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21173A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:rsidR="00F55E2E" w:rsidRPr="0021173A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F55E2E" w:rsidRPr="0021173A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F55E2E" w:rsidRPr="0021173A" w:rsidRDefault="00F55E2E" w:rsidP="00F55E2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ab/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1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21173A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21173A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F55E2E" w:rsidRPr="0021173A" w:rsidRDefault="00F55E2E" w:rsidP="00F55E2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F55E2E" w:rsidRPr="0021173A" w:rsidRDefault="00F55E2E" w:rsidP="00F55E2E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F55E2E" w:rsidRPr="0021173A" w:rsidRDefault="00F55E2E" w:rsidP="00F55E2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Čl. X</w:t>
      </w:r>
    </w:p>
    <w:p w:rsidR="00F55E2E" w:rsidRPr="0021173A" w:rsidRDefault="00F55E2E" w:rsidP="00F55E2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Záverečné ustanovenia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21173A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4E0DF8" w:rsidRPr="004E0DF8" w:rsidRDefault="00F55E2E" w:rsidP="004E0DF8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</w:t>
      </w:r>
      <w:r w:rsidR="004E0DF8" w:rsidRPr="004E0DF8">
        <w:rPr>
          <w:rFonts w:ascii="Tahoma" w:hAnsi="Tahoma" w:cs="Tahoma"/>
          <w:sz w:val="20"/>
          <w:szCs w:val="20"/>
          <w:lang w:val="sk-SK"/>
        </w:rPr>
        <w:t xml:space="preserve">Oprávnené osoby na výkon kontroly/auditu na mieste sú najmä: </w:t>
      </w:r>
    </w:p>
    <w:p w:rsidR="004E0DF8" w:rsidRPr="00FD4E1C" w:rsidRDefault="004E0DF8" w:rsidP="004E0DF8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D4E1C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4E0DF8" w:rsidRPr="00FD4E1C" w:rsidRDefault="004E0DF8" w:rsidP="004E0DF8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D4E1C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4E0DF8" w:rsidRPr="00FD4E1C" w:rsidRDefault="004E0DF8" w:rsidP="004E0DF8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D4E1C">
        <w:rPr>
          <w:rFonts w:ascii="Tahoma" w:hAnsi="Tahoma" w:cs="Tahoma"/>
          <w:color w:val="auto"/>
          <w:sz w:val="20"/>
          <w:szCs w:val="20"/>
        </w:rPr>
        <w:t xml:space="preserve">Najvyšší kontrolný úrad SR </w:t>
      </w:r>
      <w:r w:rsidRPr="00FD4E1C">
        <w:rPr>
          <w:color w:val="auto"/>
        </w:rPr>
        <w:t>a ním poverené osoby</w:t>
      </w:r>
    </w:p>
    <w:p w:rsidR="004E0DF8" w:rsidRPr="00FD4E1C" w:rsidRDefault="004E0DF8" w:rsidP="004E0DF8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D4E1C">
        <w:rPr>
          <w:rFonts w:ascii="Tahoma" w:hAnsi="Tahoma" w:cs="Tahoma"/>
          <w:color w:val="auto"/>
          <w:sz w:val="20"/>
          <w:szCs w:val="20"/>
        </w:rPr>
        <w:t xml:space="preserve">Orgán auditu, jeho spolupracujúce orgány (Úrad vládneho auditu) a osoby poverené na výkon kontroly/auditu, </w:t>
      </w:r>
    </w:p>
    <w:p w:rsidR="004E0DF8" w:rsidRPr="00FD4E1C" w:rsidRDefault="004E0DF8" w:rsidP="004E0DF8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D4E1C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4E0DF8" w:rsidRDefault="004E0DF8" w:rsidP="004E0DF8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D4E1C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4E0DF8" w:rsidRPr="004E0DF8" w:rsidRDefault="004E0DF8" w:rsidP="004E0DF8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E0DF8">
        <w:rPr>
          <w:rFonts w:ascii="Tahoma" w:hAnsi="Tahoma" w:cs="Tahoma"/>
          <w:color w:val="auto"/>
          <w:sz w:val="20"/>
          <w:szCs w:val="20"/>
        </w:rPr>
        <w:t>Osoby prizvané orgánmi uvedenými v písm. a) až f) v súlade s príslušnými Právnymi predpismi SR a právnymi aktmi EÚ.</w:t>
      </w:r>
    </w:p>
    <w:p w:rsidR="004E0DF8" w:rsidRDefault="004E0DF8" w:rsidP="004E0DF8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rFonts w:ascii="Tahoma" w:hAnsi="Tahoma" w:cs="Tahoma"/>
          <w:sz w:val="20"/>
          <w:szCs w:val="20"/>
          <w:lang w:val="sk-SK"/>
        </w:rPr>
      </w:pPr>
    </w:p>
    <w:p w:rsidR="00F55E2E" w:rsidRPr="0021173A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lastRenderedPageBreak/>
        <w:t>Zmluva je vyhotovená v štyroch rovnopisoch, dva pre objednávateľa a dva pre dodávateľa.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F55E2E" w:rsidRPr="0021173A" w:rsidRDefault="00F55E2E" w:rsidP="0064357D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F55E2E" w:rsidRPr="0021173A" w:rsidRDefault="00F55E2E" w:rsidP="0064357D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F55E2E" w:rsidRPr="0021173A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F55E2E" w:rsidRPr="0021173A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F55E2E" w:rsidRPr="0021173A" w:rsidRDefault="00F55E2E" w:rsidP="00F55E2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ab/>
      </w:r>
    </w:p>
    <w:p w:rsidR="00F55E2E" w:rsidRPr="0021173A" w:rsidRDefault="00F55E2E" w:rsidP="00F55E2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1173A">
        <w:rPr>
          <w:rFonts w:ascii="Tahoma" w:hAnsi="Tahoma" w:cs="Tahoma"/>
          <w:noProof/>
          <w:sz w:val="20"/>
          <w:szCs w:val="20"/>
        </w:rPr>
        <w:t>Partizánske</w:t>
      </w:r>
      <w:r w:rsidRPr="0021173A">
        <w:rPr>
          <w:rFonts w:ascii="Tahoma" w:hAnsi="Tahoma" w:cs="Tahoma"/>
          <w:sz w:val="20"/>
          <w:szCs w:val="20"/>
          <w:lang w:val="sk-SK"/>
        </w:rPr>
        <w:t>, dňa ............</w:t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F55E2E" w:rsidRPr="0021173A" w:rsidRDefault="00F55E2E" w:rsidP="00F55E2E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55E2E" w:rsidRPr="0021173A" w:rsidRDefault="00F55E2E" w:rsidP="00F55E2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55E2E" w:rsidRPr="0021173A" w:rsidRDefault="00F55E2E" w:rsidP="00F55E2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21173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F55E2E" w:rsidRPr="0021173A" w:rsidRDefault="00F55E2E" w:rsidP="00F55E2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F55E2E" w:rsidRPr="0021173A" w:rsidRDefault="00F55E2E" w:rsidP="00F55E2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21173A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Mgr. Radoslav Čangel</w:t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21173A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9D0233" w:rsidRDefault="009D0233" w:rsidP="00F55E2E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F55E2E" w:rsidRPr="0021173A" w:rsidRDefault="00F55E2E" w:rsidP="00F55E2E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Príloha č. 1.</w:t>
      </w:r>
    </w:p>
    <w:p w:rsidR="009D0233" w:rsidRDefault="009D0233" w:rsidP="00F55E2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F55E2E" w:rsidRDefault="00F55E2E" w:rsidP="00F55E2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1173A"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F55E2E" w:rsidRDefault="00F55E2E" w:rsidP="00F55E2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9D0233" w:rsidRDefault="009D0233" w:rsidP="00F55E2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Ind w:w="-990" w:type="dxa"/>
        <w:tblLayout w:type="fixed"/>
        <w:tblLook w:val="04A0"/>
      </w:tblPr>
      <w:tblGrid>
        <w:gridCol w:w="655"/>
        <w:gridCol w:w="6004"/>
        <w:gridCol w:w="1843"/>
        <w:gridCol w:w="988"/>
      </w:tblGrid>
      <w:tr w:rsidR="00F55E2E" w:rsidRPr="0021173A" w:rsidTr="00F55E2E">
        <w:trPr>
          <w:trHeight w:val="277"/>
          <w:jc w:val="center"/>
        </w:trPr>
        <w:tc>
          <w:tcPr>
            <w:tcW w:w="9490" w:type="dxa"/>
            <w:gridSpan w:val="4"/>
            <w:hideMark/>
          </w:tcPr>
          <w:p w:rsidR="00F55E2E" w:rsidRPr="0021173A" w:rsidRDefault="00F55E2E" w:rsidP="00F55E2E">
            <w:pPr>
              <w:ind w:left="-108" w:right="-126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Počet kusov : 1 ks</w:t>
            </w:r>
          </w:p>
        </w:tc>
      </w:tr>
      <w:tr w:rsidR="00F55E2E" w:rsidRPr="0021173A" w:rsidTr="00F55E2E">
        <w:trPr>
          <w:trHeight w:val="277"/>
          <w:jc w:val="center"/>
        </w:trPr>
        <w:tc>
          <w:tcPr>
            <w:tcW w:w="6659" w:type="dxa"/>
            <w:gridSpan w:val="2"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988" w:type="dxa"/>
            <w:vAlign w:val="center"/>
            <w:hideMark/>
          </w:tcPr>
          <w:p w:rsidR="00F55E2E" w:rsidRPr="0021173A" w:rsidRDefault="00F55E2E" w:rsidP="00F55E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F55E2E" w:rsidRPr="0021173A" w:rsidTr="00F55E2E">
        <w:trPr>
          <w:trHeight w:val="140"/>
          <w:jc w:val="center"/>
        </w:trPr>
        <w:tc>
          <w:tcPr>
            <w:tcW w:w="655" w:type="dxa"/>
            <w:vMerge w:val="restart"/>
            <w:noWrap/>
            <w:textDirection w:val="btLr"/>
            <w:vAlign w:val="center"/>
            <w:hideMark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Kontinuálny lis na ovocie</w:t>
            </w: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Šnekový lis určený na lisovanie ovocia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55E2E" w:rsidRPr="0021173A" w:rsidTr="00F55E2E">
        <w:trPr>
          <w:trHeight w:val="173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Šnekový lis pre nepretržité lisovanie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204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Celonerezové prevedenie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95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Trojfázový motor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26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Na kolieskach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58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Univerzálny pre rôzne druhy ovocia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90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Množstvo vylisovaného ovocia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kg/hod.</w:t>
            </w:r>
          </w:p>
        </w:tc>
      </w:tr>
      <w:tr w:rsidR="00F55E2E" w:rsidRPr="0021173A" w:rsidTr="00F55E2E">
        <w:trPr>
          <w:trHeight w:val="222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Pneumatický lis uzavretý</w:t>
            </w: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Pneumatický lis na hrozno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F55E2E" w:rsidRPr="0021173A" w:rsidTr="00F55E2E">
        <w:trPr>
          <w:trHeight w:val="113"/>
          <w:jc w:val="center"/>
        </w:trPr>
        <w:tc>
          <w:tcPr>
            <w:tcW w:w="655" w:type="dxa"/>
            <w:vMerge/>
            <w:textDirection w:val="btLr"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Prevedenie na kolieskach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44"/>
          <w:jc w:val="center"/>
        </w:trPr>
        <w:tc>
          <w:tcPr>
            <w:tcW w:w="655" w:type="dxa"/>
            <w:vMerge/>
            <w:textDirection w:val="btLr"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Uzavretý lisovací kôš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309"/>
          <w:jc w:val="center"/>
        </w:trPr>
        <w:tc>
          <w:tcPr>
            <w:tcW w:w="655" w:type="dxa"/>
            <w:vMerge/>
            <w:textDirection w:val="btLr"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súčasti prichádzajúce do kontaktu s hroznom a muštom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52"/>
          <w:jc w:val="center"/>
        </w:trPr>
        <w:tc>
          <w:tcPr>
            <w:tcW w:w="655" w:type="dxa"/>
            <w:vMerge/>
            <w:textDirection w:val="btLr"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Automatické lisovacie programy a ovládanie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84"/>
          <w:jc w:val="center"/>
        </w:trPr>
        <w:tc>
          <w:tcPr>
            <w:tcW w:w="655" w:type="dxa"/>
            <w:vMerge/>
            <w:textDirection w:val="btLr"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Váha lisu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F55E2E" w:rsidRPr="0021173A" w:rsidTr="00F55E2E">
        <w:trPr>
          <w:trHeight w:val="217"/>
          <w:jc w:val="center"/>
        </w:trPr>
        <w:tc>
          <w:tcPr>
            <w:tcW w:w="655" w:type="dxa"/>
            <w:vMerge/>
            <w:textDirection w:val="btLr"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koša pre odstrapiňované hrozno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F55E2E" w:rsidRPr="0021173A" w:rsidTr="00F55E2E">
        <w:trPr>
          <w:trHeight w:val="208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Vinifikátor</w:t>
            </w:r>
          </w:p>
          <w:p w:rsidR="00F55E2E" w:rsidRPr="0021173A" w:rsidRDefault="00F55E2E" w:rsidP="00F55E2E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Celonerezové prevedenie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240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plášť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31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Plášť na ohrev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46D38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62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Celkový objem vinifikátora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F55E2E" w:rsidRPr="0021173A" w:rsidTr="00F55E2E">
        <w:trPr>
          <w:trHeight w:val="195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pre nakvášanie rmutu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F55E2E" w:rsidRPr="0021173A" w:rsidTr="00F55E2E">
        <w:trPr>
          <w:trHeight w:val="226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Miešanie rmutu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17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Výška vinifikátora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55E2E" w:rsidRPr="0021173A" w:rsidTr="00F55E2E">
        <w:trPr>
          <w:trHeight w:val="148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Priemer vinifikátora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55E2E" w:rsidRPr="0021173A" w:rsidTr="00F55E2E">
        <w:trPr>
          <w:trHeight w:val="188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Ovládanie chladenia, ohrevu, miešania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309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Systém nerezových nádob s riadeným kvasením </w:t>
            </w: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Objem nádrže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F55E2E" w:rsidRPr="0021173A" w:rsidTr="00F55E2E">
        <w:trPr>
          <w:trHeight w:val="238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plášť</w:t>
            </w: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 xml:space="preserve"> , </w:t>
            </w:r>
            <w:r w:rsidRPr="0021173A">
              <w:rPr>
                <w:rFonts w:ascii="Tahoma" w:hAnsi="Tahoma" w:cs="Tahoma"/>
                <w:sz w:val="20"/>
                <w:szCs w:val="20"/>
              </w:rPr>
              <w:t>2x ventil .” na chladiace médium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29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Plavák na dušu s príslušenstvom 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58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Proti prachové veko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93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 xml:space="preserve">Ventily </w:t>
            </w:r>
            <w:r w:rsidRPr="0021173A">
              <w:rPr>
                <w:rFonts w:ascii="Tahoma" w:hAnsi="Tahoma" w:cs="Tahoma"/>
                <w:sz w:val="20"/>
                <w:szCs w:val="20"/>
              </w:rPr>
              <w:t>5/4” 2x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82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Vínoznak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15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Opierka na rebrík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232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Súčasťou teplomer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78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Prevedenie na nohách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211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Výška nádrže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55E2E" w:rsidRPr="0021173A" w:rsidTr="00F55E2E">
        <w:trPr>
          <w:trHeight w:val="100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Priemer nádrže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55E2E" w:rsidRPr="0021173A" w:rsidTr="00F55E2E">
        <w:trPr>
          <w:trHeight w:val="309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vAlign w:val="center"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Systém chladenia a ohrevu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08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Chladiaci agregát s výkonom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F55E2E" w:rsidRPr="0021173A" w:rsidTr="00F55E2E">
        <w:trPr>
          <w:trHeight w:val="158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Akumulačná nádrž na chladiacu kvapalinu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58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  <w:t>Komplet inštalácia s rozvodmi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362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pStyle w:val="Bezriadkovania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Riadenie teploty v tankoch (chladenie a ohrev) - rozvody a senzory snímania teplôt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56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Ovládanie teploty na tanku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58"/>
          <w:jc w:val="center"/>
        </w:trPr>
        <w:tc>
          <w:tcPr>
            <w:tcW w:w="655" w:type="dxa"/>
            <w:vMerge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Vzdialeného ovládania zariadenia (PC, mobil, tablet)</w:t>
            </w:r>
          </w:p>
        </w:tc>
        <w:tc>
          <w:tcPr>
            <w:tcW w:w="1843" w:type="dxa"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216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suppressAutoHyphens/>
              <w:jc w:val="both"/>
              <w:rPr>
                <w:rFonts w:ascii="Tahoma" w:eastAsia="Arial" w:hAnsi="Tahoma" w:cs="Tahoma"/>
                <w:iCs/>
                <w:color w:val="000000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Zber prevádzkových dát, ich evidencia s možnosťou štatistického vyhodnotenia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56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Vyvíjač pary</w:t>
            </w: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zariadenia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89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Zásobník na vodu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</w:tr>
      <w:tr w:rsidR="00F55E2E" w:rsidRPr="0021173A" w:rsidTr="00F55E2E">
        <w:trPr>
          <w:trHeight w:val="220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Objem vyrobenej pary 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</w:t>
            </w:r>
          </w:p>
        </w:tc>
      </w:tr>
      <w:tr w:rsidR="00F55E2E" w:rsidRPr="0021173A" w:rsidTr="00F55E2E">
        <w:trPr>
          <w:trHeight w:val="111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Mobilná verzia vyvíjača pary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43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Prípojky na hadice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74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lastRenderedPageBreak/>
              <w:t>Vretenové čerpadlo</w:t>
            </w: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Schopnosť čerpať kvapaliny aj ovocné rmuty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207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Regulácia otáčok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96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Výkon čerpadla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kg/hod</w:t>
            </w:r>
          </w:p>
        </w:tc>
      </w:tr>
      <w:tr w:rsidR="00F55E2E" w:rsidRPr="0021173A" w:rsidTr="00F55E2E">
        <w:trPr>
          <w:trHeight w:val="129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Čerpadlo musí obsahovať násypku so šnekovým podávačom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60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súčasti prichádzajúcej do kontaktu s hroznom a muštom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82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Mobilné prevedenie čerpadla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15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Pripojenie na hadicu priemeru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F55E2E" w:rsidRPr="0021173A" w:rsidTr="00F55E2E">
        <w:trPr>
          <w:trHeight w:val="146"/>
          <w:jc w:val="center"/>
        </w:trPr>
        <w:tc>
          <w:tcPr>
            <w:tcW w:w="655" w:type="dxa"/>
            <w:vMerge w:val="restart"/>
            <w:textDirection w:val="btLr"/>
            <w:hideMark/>
          </w:tcPr>
          <w:p w:rsidR="00F55E2E" w:rsidRPr="0021173A" w:rsidRDefault="00F55E2E" w:rsidP="00F55E2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Doskový filter</w:t>
            </w: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Nerezové prevedenie filtra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78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Filtračná komora rozmeru 400x400 mm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69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Doska pre postupovú filtráciu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55E2E" w:rsidRPr="0021173A" w:rsidTr="00F55E2E">
        <w:trPr>
          <w:trHeight w:val="100"/>
          <w:jc w:val="center"/>
        </w:trPr>
        <w:tc>
          <w:tcPr>
            <w:tcW w:w="655" w:type="dxa"/>
            <w:vMerge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4" w:type="dxa"/>
            <w:noWrap/>
            <w:hideMark/>
          </w:tcPr>
          <w:p w:rsidR="00F55E2E" w:rsidRPr="0021173A" w:rsidRDefault="00F55E2E" w:rsidP="00F55E2E">
            <w:pPr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 xml:space="preserve">Čerpadlo s príkonom </w:t>
            </w:r>
          </w:p>
        </w:tc>
        <w:tc>
          <w:tcPr>
            <w:tcW w:w="1843" w:type="dxa"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:rsidR="00F55E2E" w:rsidRPr="0021173A" w:rsidRDefault="00F55E2E" w:rsidP="00F55E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173A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</w:tbl>
    <w:p w:rsidR="00F55E2E" w:rsidRPr="00087F73" w:rsidRDefault="00F55E2E" w:rsidP="00F55E2E">
      <w:pPr>
        <w:pStyle w:val="Zkladntext211"/>
        <w:widowControl w:val="0"/>
        <w:spacing w:after="120"/>
        <w:jc w:val="center"/>
        <w:rPr>
          <w:rFonts w:ascii="Tahoma" w:hAnsi="Tahoma" w:cs="Tahoma"/>
          <w:sz w:val="16"/>
          <w:szCs w:val="16"/>
          <w:lang w:val="sk-SK"/>
        </w:rPr>
      </w:pPr>
      <w:r w:rsidRPr="00087F73">
        <w:rPr>
          <w:rFonts w:ascii="Tahoma" w:hAnsi="Tahoma" w:cs="Tahoma"/>
          <w:sz w:val="16"/>
          <w:szCs w:val="16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087F73" w:rsidRDefault="00087F73" w:rsidP="00F55E2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F55E2E" w:rsidRPr="0021173A" w:rsidRDefault="00F55E2E" w:rsidP="00F55E2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21173A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1173A">
        <w:rPr>
          <w:rFonts w:ascii="Tahoma" w:hAnsi="Tahoma" w:cs="Tahoma"/>
          <w:noProof/>
          <w:sz w:val="20"/>
          <w:szCs w:val="20"/>
        </w:rPr>
        <w:t>Partizánske</w:t>
      </w:r>
      <w:r w:rsidRPr="0021173A">
        <w:rPr>
          <w:rFonts w:ascii="Tahoma" w:hAnsi="Tahoma" w:cs="Tahoma"/>
          <w:sz w:val="20"/>
          <w:szCs w:val="20"/>
          <w:lang w:val="sk-SK"/>
        </w:rPr>
        <w:t>, dňa ............</w:t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</w:r>
      <w:r w:rsidRPr="0021173A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F55E2E" w:rsidRPr="0021173A" w:rsidRDefault="00F55E2E" w:rsidP="00F55E2E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55E2E" w:rsidRPr="0021173A" w:rsidRDefault="00F55E2E" w:rsidP="00F55E2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55E2E" w:rsidRPr="0021173A" w:rsidRDefault="00F55E2E" w:rsidP="00F55E2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21173A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F55E2E" w:rsidRPr="0021173A" w:rsidRDefault="00F55E2E" w:rsidP="00F55E2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9D0233" w:rsidRDefault="00F55E2E" w:rsidP="00F55E2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21173A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 Mgr. Radoslav Čangel</w:t>
      </w:r>
      <w:r w:rsidRPr="0021173A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sectPr w:rsidR="009D0233" w:rsidSect="009D0233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67" w:rsidRDefault="00422067" w:rsidP="00465A3B">
      <w:r>
        <w:separator/>
      </w:r>
    </w:p>
  </w:endnote>
  <w:endnote w:type="continuationSeparator" w:id="1">
    <w:p w:rsidR="00422067" w:rsidRDefault="00422067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2E" w:rsidRDefault="00F55E2E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4B25E9" w:rsidRPr="004B25E9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4B25E9">
      <w:fldChar w:fldCharType="separate"/>
    </w:r>
    <w:r w:rsidR="00986F58">
      <w:rPr>
        <w:noProof/>
      </w:rPr>
      <w:t>2</w:t>
    </w:r>
    <w:r w:rsidR="004B25E9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4B25E9" w:rsidRPr="004B25E9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4B25E9">
      <w:fldChar w:fldCharType="separate"/>
    </w:r>
    <w:r w:rsidR="00986F58">
      <w:rPr>
        <w:noProof/>
      </w:rPr>
      <w:t>7</w:t>
    </w:r>
    <w:r w:rsidR="004B25E9">
      <w:fldChar w:fldCharType="end"/>
    </w:r>
  </w:p>
  <w:p w:rsidR="00F55E2E" w:rsidRDefault="00F55E2E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67" w:rsidRDefault="00422067" w:rsidP="00465A3B">
      <w:r>
        <w:separator/>
      </w:r>
    </w:p>
  </w:footnote>
  <w:footnote w:type="continuationSeparator" w:id="1">
    <w:p w:rsidR="00422067" w:rsidRDefault="00422067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CBA273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F0E76"/>
    <w:multiLevelType w:val="multilevel"/>
    <w:tmpl w:val="42F66B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A2BC9"/>
    <w:multiLevelType w:val="multilevel"/>
    <w:tmpl w:val="D072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624A7D"/>
    <w:multiLevelType w:val="multilevel"/>
    <w:tmpl w:val="F6C6C10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83BB3"/>
    <w:multiLevelType w:val="hybridMultilevel"/>
    <w:tmpl w:val="D472A266"/>
    <w:lvl w:ilvl="0" w:tplc="99A854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23"/>
  </w:num>
  <w:num w:numId="5">
    <w:abstractNumId w:val="16"/>
  </w:num>
  <w:num w:numId="6">
    <w:abstractNumId w:val="22"/>
  </w:num>
  <w:num w:numId="7">
    <w:abstractNumId w:val="20"/>
  </w:num>
  <w:num w:numId="8">
    <w:abstractNumId w:val="30"/>
  </w:num>
  <w:num w:numId="9">
    <w:abstractNumId w:val="14"/>
  </w:num>
  <w:num w:numId="10">
    <w:abstractNumId w:val="32"/>
  </w:num>
  <w:num w:numId="11">
    <w:abstractNumId w:val="29"/>
  </w:num>
  <w:num w:numId="12">
    <w:abstractNumId w:val="21"/>
  </w:num>
  <w:num w:numId="13">
    <w:abstractNumId w:val="31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8"/>
  </w:num>
  <w:num w:numId="23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1F07"/>
    <w:rsid w:val="00031A7F"/>
    <w:rsid w:val="0003299E"/>
    <w:rsid w:val="00035AB4"/>
    <w:rsid w:val="00035B57"/>
    <w:rsid w:val="00043C00"/>
    <w:rsid w:val="0004694C"/>
    <w:rsid w:val="00046C23"/>
    <w:rsid w:val="000471DD"/>
    <w:rsid w:val="00057345"/>
    <w:rsid w:val="000627E2"/>
    <w:rsid w:val="000631FA"/>
    <w:rsid w:val="000660F3"/>
    <w:rsid w:val="0007506E"/>
    <w:rsid w:val="00075AA6"/>
    <w:rsid w:val="000770D4"/>
    <w:rsid w:val="00077246"/>
    <w:rsid w:val="00077710"/>
    <w:rsid w:val="000844D5"/>
    <w:rsid w:val="00085C2E"/>
    <w:rsid w:val="00087F73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1CBB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3A02"/>
    <w:rsid w:val="001D72FA"/>
    <w:rsid w:val="001E551C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C4E"/>
    <w:rsid w:val="00247AE8"/>
    <w:rsid w:val="0025228F"/>
    <w:rsid w:val="00265A01"/>
    <w:rsid w:val="00271C9C"/>
    <w:rsid w:val="002753E8"/>
    <w:rsid w:val="00276CBE"/>
    <w:rsid w:val="0028213F"/>
    <w:rsid w:val="00282FEB"/>
    <w:rsid w:val="00284031"/>
    <w:rsid w:val="002845DA"/>
    <w:rsid w:val="002943E8"/>
    <w:rsid w:val="002958C5"/>
    <w:rsid w:val="0029791B"/>
    <w:rsid w:val="002A423D"/>
    <w:rsid w:val="002A6887"/>
    <w:rsid w:val="002A7CFD"/>
    <w:rsid w:val="002B433A"/>
    <w:rsid w:val="002B6D87"/>
    <w:rsid w:val="002C461C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D6E"/>
    <w:rsid w:val="00333BCF"/>
    <w:rsid w:val="003356D4"/>
    <w:rsid w:val="003358BF"/>
    <w:rsid w:val="003409DE"/>
    <w:rsid w:val="00345079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2067"/>
    <w:rsid w:val="00423B64"/>
    <w:rsid w:val="00423F87"/>
    <w:rsid w:val="004248B5"/>
    <w:rsid w:val="00427526"/>
    <w:rsid w:val="00430340"/>
    <w:rsid w:val="004320FA"/>
    <w:rsid w:val="00445A0E"/>
    <w:rsid w:val="004472D0"/>
    <w:rsid w:val="004477E2"/>
    <w:rsid w:val="004540F2"/>
    <w:rsid w:val="0045781C"/>
    <w:rsid w:val="00460E4A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25E9"/>
    <w:rsid w:val="004B3878"/>
    <w:rsid w:val="004B4C97"/>
    <w:rsid w:val="004C38EE"/>
    <w:rsid w:val="004C4389"/>
    <w:rsid w:val="004C73AD"/>
    <w:rsid w:val="004C7746"/>
    <w:rsid w:val="004D2CA7"/>
    <w:rsid w:val="004E0DF8"/>
    <w:rsid w:val="004F0877"/>
    <w:rsid w:val="00507883"/>
    <w:rsid w:val="00516648"/>
    <w:rsid w:val="005229C5"/>
    <w:rsid w:val="00522FBD"/>
    <w:rsid w:val="005253ED"/>
    <w:rsid w:val="00530E45"/>
    <w:rsid w:val="00545574"/>
    <w:rsid w:val="005538A8"/>
    <w:rsid w:val="00560978"/>
    <w:rsid w:val="005637EB"/>
    <w:rsid w:val="00571B5C"/>
    <w:rsid w:val="005739A2"/>
    <w:rsid w:val="00586C86"/>
    <w:rsid w:val="00590A51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E4267"/>
    <w:rsid w:val="005E6583"/>
    <w:rsid w:val="005E77F2"/>
    <w:rsid w:val="00601F95"/>
    <w:rsid w:val="0060344A"/>
    <w:rsid w:val="0060364B"/>
    <w:rsid w:val="00606F0C"/>
    <w:rsid w:val="00611117"/>
    <w:rsid w:val="00614413"/>
    <w:rsid w:val="0062079A"/>
    <w:rsid w:val="00620D7D"/>
    <w:rsid w:val="006260B1"/>
    <w:rsid w:val="006270B8"/>
    <w:rsid w:val="00627973"/>
    <w:rsid w:val="00631467"/>
    <w:rsid w:val="00637756"/>
    <w:rsid w:val="0064357D"/>
    <w:rsid w:val="00644FDE"/>
    <w:rsid w:val="00646D54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97596"/>
    <w:rsid w:val="006A642E"/>
    <w:rsid w:val="006A669A"/>
    <w:rsid w:val="006C3B08"/>
    <w:rsid w:val="006C3DB1"/>
    <w:rsid w:val="006C4292"/>
    <w:rsid w:val="006C7C64"/>
    <w:rsid w:val="006D1564"/>
    <w:rsid w:val="006D1DEE"/>
    <w:rsid w:val="006F3133"/>
    <w:rsid w:val="006F5665"/>
    <w:rsid w:val="006F5A64"/>
    <w:rsid w:val="0070660D"/>
    <w:rsid w:val="00712117"/>
    <w:rsid w:val="00714353"/>
    <w:rsid w:val="00717222"/>
    <w:rsid w:val="00721DF7"/>
    <w:rsid w:val="007264D0"/>
    <w:rsid w:val="00732BF8"/>
    <w:rsid w:val="00733E7B"/>
    <w:rsid w:val="0073442D"/>
    <w:rsid w:val="00736CF4"/>
    <w:rsid w:val="00741D31"/>
    <w:rsid w:val="00745053"/>
    <w:rsid w:val="007469EA"/>
    <w:rsid w:val="007472F7"/>
    <w:rsid w:val="00753BD9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2BAA"/>
    <w:rsid w:val="007B4598"/>
    <w:rsid w:val="007B6505"/>
    <w:rsid w:val="007C6EA4"/>
    <w:rsid w:val="007C73FD"/>
    <w:rsid w:val="007D068B"/>
    <w:rsid w:val="007D32C0"/>
    <w:rsid w:val="007D5540"/>
    <w:rsid w:val="007D6142"/>
    <w:rsid w:val="007D77D7"/>
    <w:rsid w:val="007E19F7"/>
    <w:rsid w:val="007E585D"/>
    <w:rsid w:val="007E65F8"/>
    <w:rsid w:val="007F159A"/>
    <w:rsid w:val="007F353B"/>
    <w:rsid w:val="007F58E8"/>
    <w:rsid w:val="007F592E"/>
    <w:rsid w:val="007F7B09"/>
    <w:rsid w:val="0080105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37A51"/>
    <w:rsid w:val="008426CF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231DC"/>
    <w:rsid w:val="00923A44"/>
    <w:rsid w:val="00924708"/>
    <w:rsid w:val="00932B8E"/>
    <w:rsid w:val="00941FC2"/>
    <w:rsid w:val="00942352"/>
    <w:rsid w:val="009752EB"/>
    <w:rsid w:val="00977FB5"/>
    <w:rsid w:val="00986F58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023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A2140"/>
    <w:rsid w:val="00AC0DCA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21DD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B3B05"/>
    <w:rsid w:val="00BC0905"/>
    <w:rsid w:val="00BC520C"/>
    <w:rsid w:val="00BD4982"/>
    <w:rsid w:val="00BE3B3A"/>
    <w:rsid w:val="00BE3FAE"/>
    <w:rsid w:val="00BF065C"/>
    <w:rsid w:val="00BF3324"/>
    <w:rsid w:val="00C00039"/>
    <w:rsid w:val="00C02490"/>
    <w:rsid w:val="00C02836"/>
    <w:rsid w:val="00C07934"/>
    <w:rsid w:val="00C14ADB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6B5A"/>
    <w:rsid w:val="00C92E62"/>
    <w:rsid w:val="00C96CC7"/>
    <w:rsid w:val="00CA4B37"/>
    <w:rsid w:val="00CA5C74"/>
    <w:rsid w:val="00CB3225"/>
    <w:rsid w:val="00CC43B9"/>
    <w:rsid w:val="00CD0E6F"/>
    <w:rsid w:val="00CD27AF"/>
    <w:rsid w:val="00CD4309"/>
    <w:rsid w:val="00CD6670"/>
    <w:rsid w:val="00CE4B58"/>
    <w:rsid w:val="00CE536B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372B1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3BF"/>
    <w:rsid w:val="00DA3762"/>
    <w:rsid w:val="00DA46F7"/>
    <w:rsid w:val="00DA57DB"/>
    <w:rsid w:val="00DB4D49"/>
    <w:rsid w:val="00DB603D"/>
    <w:rsid w:val="00DC07D3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066"/>
    <w:rsid w:val="00E2319A"/>
    <w:rsid w:val="00E367B2"/>
    <w:rsid w:val="00E4131D"/>
    <w:rsid w:val="00E437EE"/>
    <w:rsid w:val="00E4589D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46D38"/>
    <w:rsid w:val="00F50AF1"/>
    <w:rsid w:val="00F52CC8"/>
    <w:rsid w:val="00F545F0"/>
    <w:rsid w:val="00F55E2E"/>
    <w:rsid w:val="00F573F2"/>
    <w:rsid w:val="00F60B91"/>
    <w:rsid w:val="00F637C0"/>
    <w:rsid w:val="00F64AB0"/>
    <w:rsid w:val="00F667E4"/>
    <w:rsid w:val="00F85304"/>
    <w:rsid w:val="00F966B7"/>
    <w:rsid w:val="00FA0FBB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12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EC00-AA49-4074-BC76-E6662058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2023-02-04T12:20:00Z</cp:lastPrinted>
  <dcterms:created xsi:type="dcterms:W3CDTF">2023-02-06T15:05:00Z</dcterms:created>
  <dcterms:modified xsi:type="dcterms:W3CDTF">2023-02-07T06:59:00Z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